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26-297</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1062 and 1065</w:t>
      </w:r>
    </w:p>
    <w:p>
      <w:pPr>
        <w:spacing w:before="0" w:after="0" w:line="480"/>
        <w:ind w:left="120"/>
        <w:jc w:val="center"/>
      </w:pPr>
      <w:r>
        <w:rPr>
          <w:rFonts w:ascii="Times New Roman" w:hAnsi="Times New Roman"/>
          <w:b w:val="false"/>
          <w:i w:val="false"/>
          <w:color w:val="000000"/>
          <w:sz w:val="24"/>
        </w:rPr>
        <w:t>“Architects—Licensing, Exceptions”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544A.29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544A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4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Architectural Examining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SchraderBachar</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Phone: 515.725.9030</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lori.schraderbachar@dia.iowa.gov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publication dates for guidelines incorporated by reference, refines parameters governing licensure status, promulgates necessary regulatory definitions, and removes matrices that conflict with the Iowa Code.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related to this proposed rulemaking other than the costs already incurred by the Board to enforce the rules. Licensed architects will not incur any additional costs other than the cost of licensing.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provides clarity for licensure candidates, architects, and building code officials as to the correct version of referenced guidelines. This rulemaking will also remove rules that are not in alignment with Iowa Code section 544A.18.</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fees paid to an architect or architectural firm for projects that are not exempt; the costs vary depending on the size and complexity of the project. Changed guidelines are available online.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Board believes that the benefits achieved justify the costs because these rules provide clarity with regard to referenced publications, license statuses and guidelines for the types of projects where architectural services are needed to provide for the health and safety of those who occupy buildings and interact in the built environment.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The Board will purchase updated building code books for public inspection. The time needed to manage this provision is generally in the form of responding to questions related to practice standards.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 Staff salaries to support the work of the Board are covered by the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believes the costs and benefits are worth establishing requirements for architectural services to ensure public safety.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does not believe there is a less costly or less intrusive method to achieve the purpose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has not identified any alternative methods to carry out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amendments relate to public safety concerns that are present whether the business is a small business or a large organization. The rulemaking is meant to ensure public safety in terms of practice standards for architects. While some architects likely are running a small business of their own, some also work for large organizations. To exempt a small business from adhering to this chapter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481—1062.1(544A,17A)</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“Inactive” and </w:t>
      </w:r>
      <w:r>
        <w:rPr>
          <w:rFonts w:ascii="Times New Roman" w:hAnsi="Times New Roman"/>
          <w:b w:val="false"/>
          <w:i w:val="false"/>
          <w:color w:val="000000"/>
          <w:sz w:val="24"/>
        </w:rPr>
        <w:t>“NCARB Architect Registration Examination (ARE) Guidelines,”</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“Inactive”</w:t>
      </w:r>
      <w:r>
        <w:rPr>
          <w:rFonts w:ascii="Times New Roman" w:hAnsi="Times New Roman"/>
          <w:b w:val="false"/>
          <w:i/>
          <w:color w:val="000000"/>
          <w:sz w:val="24"/>
          <w:u w:val="single"/>
        </w:rPr>
        <w:t> </w:t>
      </w:r>
      <w:r>
        <w:rPr>
          <w:rFonts w:ascii="Times New Roman" w:hAnsi="Times New Roman"/>
          <w:b w:val="false"/>
          <w:i w:val="false"/>
          <w:color w:val="000000"/>
          <w:sz w:val="24"/>
        </w:rPr>
        <w:t>means that an architect is not engaged in Iowa in any practice for which a certificate of licensure is required</w:t>
      </w:r>
      <w:r>
        <w:rPr>
          <w:rFonts w:ascii="Times New Roman" w:hAnsi="Times New Roman"/>
          <w:b w:val="false"/>
          <w:i w:val="false"/>
          <w:strike/>
          <w:color w:val="000000"/>
          <w:sz w:val="24"/>
        </w:rPr>
        <w:t>, including architects who have retired from active practice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“NCARB Architect Registration Examination (ARE) Guidelines”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edition of a document by the same title published by the National Council of Architectural Registration Boards in </w:t>
      </w:r>
      <w:r>
        <w:rPr>
          <w:rFonts w:ascii="Times New Roman" w:hAnsi="Times New Roman"/>
          <w:b w:val="false"/>
          <w:i w:val="false"/>
          <w:strike/>
          <w:color w:val="000000"/>
          <w:sz w:val="24"/>
        </w:rPr>
        <w:t>April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June</w:t>
      </w:r>
      <w:r>
        <w:rPr>
          <w:rFonts w:ascii="Times New Roman" w:hAnsi="Times New Roman"/>
          <w:b w:val="false"/>
          <w:i w:val="false"/>
          <w:color w:val="000000"/>
          <w:sz w:val="24"/>
        </w:rPr>
        <w:t xml:space="preserve"> 2026. The document outlines the requirements for examination.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“Retired”</w:t>
      </w:r>
      <w:r>
        <w:rPr>
          <w:rFonts w:ascii="Times New Roman" w:hAnsi="Times New Roman"/>
          <w:b w:val="false"/>
          <w:i w:val="false"/>
          <w:color w:val="000000"/>
          <w:sz w:val="24"/>
        </w:rPr>
        <w:t xml:space="preserve"> in rule </w:t>
      </w:r>
      <w:r>
        <w:rPr>
          <w:rFonts w:ascii="Times New Roman" w:hAnsi="Times New Roman"/>
          <w:b/>
          <w:i w:val="false"/>
          <w:color w:val="000000"/>
          <w:sz w:val="24"/>
        </w:rPr>
        <w:t>481—1062.1(544A,17A)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“Retired”</w:t>
      </w:r>
      <w:r>
        <w:rPr>
          <w:rFonts w:ascii="Times New Roman" w:hAnsi="Times New Roman"/>
          <w:b w:val="false"/>
          <w:i/>
          <w:color w:val="000000"/>
          <w:sz w:val="24"/>
          <w:u w:val="single"/>
        </w:rPr>
        <w:t> </w:t>
      </w:r>
      <w:r>
        <w:rPr>
          <w:rFonts w:ascii="Times New Roman" w:hAnsi="Times New Roman"/>
          <w:b w:val="false"/>
          <w:i w:val="false"/>
          <w:color w:val="000000"/>
          <w:sz w:val="24"/>
        </w:rPr>
        <w:t>means that an architect is not engaged in the practice of architecture or earning monetary compensation by providing professional architectural services in any licensing jurisdiction of the United States or a foreign country.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1062.3(2)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1062.3(2)</w:t>
      </w:r>
      <w:r>
        <w:rPr>
          <w:rFonts w:ascii="Times New Roman" w:hAnsi="Times New Roman"/>
          <w:b w:val="false"/>
          <w:i w:val="false"/>
          <w:color w:val="000000"/>
          <w:sz w:val="24"/>
        </w:rPr>
        <w:t> </w:t>
      </w:r>
      <w:r>
        <w:rPr>
          <w:rFonts w:ascii="Times New Roman" w:hAnsi="Times New Roman"/>
          <w:b w:val="false"/>
          <w:i/>
          <w:color w:val="000000"/>
          <w:sz w:val="24"/>
        </w:rPr>
        <w:t xml:space="preserve">Inactive status. </w:t>
      </w:r>
      <w:r>
        <w:rPr>
          <w:rFonts w:ascii="Times New Roman" w:hAnsi="Times New Roman"/>
          <w:b w:val="false"/>
          <w:i w:val="false"/>
          <w:color w:val="000000"/>
          <w:sz w:val="24"/>
        </w:rPr>
        <w:t xml:space="preserve">This subrule establishes a procedure under which a person issued a certificate of licensure as an architect may apply to the board to be licensed as inactive. Licensure under this subrule is available to a license holder who is not engaged in Iowa in any practice for which licensure as an architect is required. A person eligible to be licensed as inactive may, as an alternative to such licensure, allow the certificate of licensure to lapse. During any period of inactive status, a person may use the title “inactive architect” </w:t>
      </w:r>
      <w:r>
        <w:rPr>
          <w:rFonts w:ascii="Times New Roman" w:hAnsi="Times New Roman"/>
          <w:b w:val="false"/>
          <w:i w:val="false"/>
          <w:strike/>
          <w:color w:val="000000"/>
          <w:sz w:val="24"/>
        </w:rPr>
        <w:t>or “retired architect,”</w:t>
      </w:r>
      <w:r>
        <w:rPr>
          <w:rFonts w:ascii="Times New Roman" w:hAnsi="Times New Roman"/>
          <w:b w:val="false"/>
          <w:i w:val="false"/>
          <w:color w:val="000000"/>
          <w:sz w:val="24"/>
        </w:rPr>
        <w:t xml:space="preserve"> but may not use the sole title of “architect” or any other title that might imply that the person is offering services as an architect by such an action in violation of Iowa Code section </w:t>
      </w:r>
      <w:hyperlink r:id="rId5">
        <w:r>
          <w:rPr>
            <w:rStyle w:val="Hyperlink"/>
            <w:rFonts w:ascii="Times New Roman" w:hAnsi="Times New Roman"/>
            <w:b w:val="false"/>
            <w:i w:val="false"/>
            <w:color w:val="000000"/>
            <w:sz w:val="24"/>
          </w:rPr>
          <w:t>544A.15</w:t>
        </w:r>
      </w:hyperlink>
      <w:r>
        <w:rPr>
          <w:rFonts w:ascii="Times New Roman" w:hAnsi="Times New Roman"/>
          <w:b w:val="false"/>
          <w:i w:val="false"/>
          <w:color w:val="000000"/>
          <w:sz w:val="24"/>
        </w:rPr>
        <w:t>. The board will continue to maintain a database of persons licensed as inactive, including information that is not routinely maintained after a certificate has lapsed through the person’s failure to renew. A person who is licensed as inactive will accordingly receive renewal applications, board newsletters and other mass communications from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Permitted practices. </w:t>
      </w:r>
      <w:r>
        <w:rPr>
          <w:rFonts w:ascii="Times New Roman" w:hAnsi="Times New Roman"/>
          <w:b w:val="false"/>
          <w:i w:val="false"/>
          <w:color w:val="000000"/>
          <w:sz w:val="24"/>
        </w:rPr>
        <w:t xml:space="preserve">A person may, while licensed as inactive, perform for a client, business, employer, government body, or other entity those services that may lawfully be provided by a person to whom a certificate of licensure has never been issued. Such services may be performed as long as the person does not in connection with such services use the title “architect” or any other title restricted for use only by architects pursuant to Iowa Code section </w:t>
      </w:r>
      <w:hyperlink r:id="rId6">
        <w:r>
          <w:rPr>
            <w:rStyle w:val="Hyperlink"/>
            <w:rFonts w:ascii="Times New Roman" w:hAnsi="Times New Roman"/>
            <w:b w:val="false"/>
            <w:i w:val="false"/>
            <w:color w:val="000000"/>
            <w:sz w:val="24"/>
          </w:rPr>
          <w:t>544A.15</w:t>
        </w:r>
      </w:hyperlink>
      <w:r>
        <w:rPr>
          <w:rFonts w:ascii="Times New Roman" w:hAnsi="Times New Roman"/>
          <w:b w:val="false"/>
          <w:i w:val="false"/>
          <w:color w:val="000000"/>
          <w:sz w:val="24"/>
        </w:rPr>
        <w:t xml:space="preserve"> (without additional designations such as “inactive” </w:t>
      </w:r>
      <w:r>
        <w:rPr>
          <w:rFonts w:ascii="Times New Roman" w:hAnsi="Times New Roman"/>
          <w:b w:val="false"/>
          <w:i w:val="false"/>
          <w:strike/>
          <w:color w:val="000000"/>
          <w:sz w:val="24"/>
        </w:rPr>
        <w:t>or “retired”</w:t>
      </w:r>
      <w:r>
        <w:rPr>
          <w:rFonts w:ascii="Times New Roman" w:hAnsi="Times New Roman"/>
          <w:b w:val="false"/>
          <w:i w:val="false"/>
          <w:color w:val="000000"/>
          <w:sz w:val="24"/>
        </w:rPr>
        <w:t>). Restricted titles may be used only by active architects who are subject to continuing education requirements to ensure that the use of such titles is consistently associated with the maintenance of competency through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1062.3(3)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1062.3(3)</w:t>
      </w:r>
      <w:r>
        <w:rPr>
          <w:rFonts w:ascii="Times New Roman" w:hAnsi="Times New Roman"/>
          <w:b w:val="false"/>
          <w:i w:val="false"/>
          <w:color w:val="000000"/>
          <w:sz w:val="24"/>
        </w:rPr>
        <w:t> </w:t>
      </w:r>
      <w:r>
        <w:rPr>
          <w:rFonts w:ascii="Times New Roman" w:hAnsi="Times New Roman"/>
          <w:b w:val="false"/>
          <w:i/>
          <w:color w:val="000000"/>
          <w:sz w:val="24"/>
        </w:rPr>
        <w:t xml:space="preserve">Retired status. </w:t>
      </w:r>
      <w:r>
        <w:rPr>
          <w:rFonts w:ascii="Times New Roman" w:hAnsi="Times New Roman"/>
          <w:b w:val="false"/>
          <w:i w:val="false"/>
          <w:color w:val="000000"/>
          <w:sz w:val="24"/>
        </w:rPr>
        <w:t>A person who held a license as an architect and who does not reasonably expect to return to the workforce in any capacity for which a certificate of licensure is required due to bona fide retirement or disability may apply to the board for retired status and, if granted, may use the title “architect retired” in the context of non-income-producing personal activities. If the board determines an applicant is eligible, the retired status would become effective on the first scheduled license renewal date. Applicants do not need to reinstate an expired license to be eligible for retired status. Applicants may apply for retired status on forms provided by the board. The board will not provide a refund of biennial license fees if an application for retired status is granted in a biennium in which the applicant has previously paid the biennial fees for either active or inactive status. Persons licensed in retired status are exempt from the renewal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Affirmation. </w:t>
      </w:r>
      <w:r>
        <w:rPr>
          <w:rFonts w:ascii="Times New Roman" w:hAnsi="Times New Roman"/>
          <w:b w:val="false"/>
          <w:i w:val="false"/>
          <w:color w:val="000000"/>
          <w:sz w:val="24"/>
        </w:rPr>
        <w:t xml:space="preserve">The retired status application form shall contain a statement in which the applicant affirms that the applicant will not engage in any of the practices in Iowa that are listed in Iowa Code section </w:t>
      </w:r>
      <w:hyperlink r:id="rId7">
        <w:r>
          <w:rPr>
            <w:rStyle w:val="Hyperlink"/>
            <w:rFonts w:ascii="Times New Roman" w:hAnsi="Times New Roman"/>
            <w:b w:val="false"/>
            <w:i w:val="false"/>
            <w:color w:val="000000"/>
            <w:sz w:val="24"/>
          </w:rPr>
          <w:t>544A.16</w:t>
        </w:r>
      </w:hyperlink>
      <w:r>
        <w:rPr>
          <w:rFonts w:ascii="Times New Roman" w:hAnsi="Times New Roman"/>
          <w:b w:val="false"/>
          <w:i w:val="false"/>
          <w:color w:val="000000"/>
          <w:sz w:val="24"/>
        </w:rPr>
        <w:t xml:space="preserve"> without first complying with all rules governing reinstatement to active status. A person in retired status may reinstate to active status at any time pursuant to subrule </w:t>
      </w:r>
      <w:hyperlink r:id="rId8">
        <w:r>
          <w:rPr>
            <w:rStyle w:val="Hyperlink"/>
            <w:rFonts w:ascii="Times New Roman" w:hAnsi="Times New Roman"/>
            <w:b w:val="false"/>
            <w:i w:val="false"/>
            <w:color w:val="000000"/>
            <w:sz w:val="24"/>
          </w:rPr>
          <w:t>1062.3(3)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Permitted practices. </w:t>
      </w:r>
      <w:r>
        <w:rPr>
          <w:rFonts w:ascii="Times New Roman" w:hAnsi="Times New Roman"/>
          <w:b w:val="false"/>
          <w:i w:val="false"/>
          <w:color w:val="000000"/>
          <w:sz w:val="24"/>
        </w:rPr>
        <w:t xml:space="preserve">Persons licensed in retired status may engage in the practices identified in paragraph </w:t>
      </w:r>
      <w:hyperlink r:id="rId9">
        <w:r>
          <w:rPr>
            <w:rStyle w:val="Hyperlink"/>
            <w:rFonts w:ascii="Times New Roman" w:hAnsi="Times New Roman"/>
            <w:b w:val="false"/>
            <w:i w:val="false"/>
            <w:color w:val="000000"/>
            <w:sz w:val="24"/>
          </w:rPr>
          <w:t>1062.3(2)</w:t>
        </w:r>
      </w:hyperlink>
      <w:r>
        <w:rPr>
          <w:rFonts w:ascii="Times New Roman" w:hAnsi="Times New Roman"/>
          <w:b w:val="false"/>
          <w:i/>
          <w:color w:val="000000"/>
          <w:sz w:val="24"/>
        </w:rPr>
        <w:t>“c.”</w:t>
      </w:r>
      <w:r>
        <w:rPr>
          <w:rFonts w:ascii="Times New Roman" w:hAnsi="Times New Roman"/>
          <w:b w:val="false"/>
          <w:i w:val="false"/>
          <w:color w:val="000000"/>
          <w:sz w:val="24"/>
        </w:rPr>
        <w:t xml:space="preserve"> Such persons may also provide services as technical experts before a court, including prelitigation preparation, discovery, and testimony, on matters directly related to architectural services provided by such persons prior to being licensed with the board in retired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Exemption. </w:t>
      </w:r>
      <w:r>
        <w:rPr>
          <w:rFonts w:ascii="Times New Roman" w:hAnsi="Times New Roman"/>
          <w:b w:val="false"/>
          <w:i w:val="false"/>
          <w:color w:val="000000"/>
          <w:sz w:val="24"/>
        </w:rPr>
        <w:t>A person whose license as an architect has been placed on probation, suspended, revoked, or voluntarily surrendered in connection with a disciplinary investigation or proceeding shall not be eligible for retired status unless, upon appropriate application, the board first reinstates the license to good standing.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481—1062.5(544A)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481—1062.5</w:t>
      </w:r>
      <w:r>
        <w:rPr>
          <w:rFonts w:ascii="Times New Roman" w:hAnsi="Times New Roman"/>
          <w:b/>
          <w:i w:val="false"/>
          <w:color w:val="000000"/>
          <w:sz w:val="24"/>
        </w:rPr>
        <w:t xml:space="preserve">(544A) </w:t>
      </w:r>
      <w:r>
        <w:rPr>
          <w:rFonts w:ascii="Times New Roman" w:hAnsi="Times New Roman"/>
          <w:b/>
          <w:i w:val="false"/>
          <w:color w:val="000000"/>
          <w:sz w:val="24"/>
        </w:rPr>
        <w:t>Reinstatement from inactive status</w:t>
      </w:r>
      <w:r>
        <w:rPr>
          <w:rFonts w:ascii="Times New Roman" w:hAnsi="Times New Roman"/>
          <w:b/>
          <w:i w:val="false"/>
          <w:color w:val="000000"/>
          <w:sz w:val="24"/>
          <w:u w:val="single"/>
        </w:rPr>
        <w:t> </w:t>
      </w:r>
      <w:r>
        <w:rPr>
          <w:rFonts w:ascii="Times New Roman" w:hAnsi="Times New Roman"/>
          <w:b/>
          <w:i w:val="false"/>
          <w:color w:val="000000"/>
          <w:sz w:val="24"/>
          <w:u w:val="single"/>
        </w:rPr>
        <w:t>or retired status</w:t>
      </w:r>
      <w:r>
        <w:rPr>
          <w:rFonts w:ascii="Times New Roman" w:hAnsi="Times New Roman"/>
          <w:b/>
          <w:i w:val="false"/>
          <w:color w:val="000000"/>
          <w:sz w:val="24"/>
        </w:rPr>
        <w:t xml:space="preserve"> to active status.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1062.5(1)</w:t>
      </w:r>
      <w:r>
        <w:rPr>
          <w:rFonts w:ascii="Times New Roman" w:hAnsi="Times New Roman"/>
          <w:b w:val="false"/>
          <w:i w:val="false"/>
          <w:color w:val="000000"/>
          <w:sz w:val="24"/>
        </w:rPr>
        <w:t> </w:t>
      </w:r>
      <w:r>
        <w:rPr>
          <w:rFonts w:ascii="Times New Roman" w:hAnsi="Times New Roman"/>
          <w:b w:val="false"/>
          <w:i w:val="false"/>
          <w:color w:val="000000"/>
          <w:sz w:val="24"/>
        </w:rPr>
        <w:t>An individual may reinstate an inactive license to an active license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Pay one-half of the current active license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Submit documented evidence of completion of 24 continuing education hours in compliance with requirements in 481—Chapter 1063.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 a written statement in which the applicant affirms that the applicant has not engaged in any of the practices in Iowa that are listed in Iowa Code section 544A.16 during the period of inactive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1062.5(1)</w:t>
      </w:r>
      <w:r>
        <w:rPr>
          <w:rFonts w:ascii="Times New Roman" w:hAnsi="Times New Roman"/>
          <w:b w:val="false"/>
          <w:i w:val="false"/>
          <w:strike/>
          <w:color w:val="000000"/>
          <w:sz w:val="24"/>
        </w:rPr>
        <w:t> </w:t>
      </w:r>
      <w:r>
        <w:rPr>
          <w:rFonts w:ascii="Times New Roman" w:hAnsi="Times New Roman"/>
          <w:b w:val="false"/>
          <w:i w:val="false"/>
          <w:strike/>
          <w:color w:val="000000"/>
          <w:sz w:val="24"/>
        </w:rPr>
        <w:t>Pay one-half of the current active license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1062.5(2)</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Submit documented evidence of completion of 24 continuing education hours in compliance with requirements in </w:t>
      </w:r>
      <w:hyperlink r:id="rId10">
        <w:r>
          <w:rPr>
            <w:rStyle w:val="Hyperlink"/>
            <w:rFonts w:ascii="Times New Roman" w:hAnsi="Times New Roman"/>
            <w:b w:val="false"/>
            <w:i w:val="false"/>
            <w:strike/>
            <w:color w:val="000000"/>
            <w:sz w:val="24"/>
          </w:rPr>
          <w:t>481—Chapter 1063</w:t>
        </w:r>
      </w:hyperlink>
      <w:r>
        <w:rPr>
          <w:rFonts w:ascii="Times New Roman" w:hAnsi="Times New Roman"/>
          <w:b w:val="false"/>
          <w:i w:val="false"/>
          <w:strike/>
          <w:color w:val="000000"/>
          <w:sz w:val="24"/>
        </w:rPr>
        <w:t>. All continuing education hours must be completed in health, safety, and welfare subjects acquired in structured educational activities. The hours reported shall not have been earned more than four years prior to the date of the application to reinstate to active status. The hours used to reinstate to active status cannot again be used to renew.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strike/>
          <w:color w:val="000000"/>
          <w:sz w:val="24"/>
        </w:rPr>
        <w:t>1062.5(3)</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Provide a written statement in which the applicant affirms that the applicant has not engaged in any of the practices in Iowa that are listed in Iowa Code section </w:t>
      </w:r>
      <w:hyperlink r:id="rId11">
        <w:r>
          <w:rPr>
            <w:rStyle w:val="Hyperlink"/>
            <w:rFonts w:ascii="Times New Roman" w:hAnsi="Times New Roman"/>
            <w:b w:val="false"/>
            <w:i w:val="false"/>
            <w:strike/>
            <w:color w:val="000000"/>
            <w:sz w:val="24"/>
          </w:rPr>
          <w:t>544A.16</w:t>
        </w:r>
      </w:hyperlink>
      <w:r>
        <w:rPr>
          <w:rFonts w:ascii="Times New Roman" w:hAnsi="Times New Roman"/>
          <w:b w:val="false"/>
          <w:i w:val="false"/>
          <w:strike/>
          <w:color w:val="000000"/>
          <w:sz w:val="24"/>
        </w:rPr>
        <w:t xml:space="preserve"> during the period of inactive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u w:val="single"/>
        </w:rPr>
        <w:t>1062.5(2)</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individual may reinstate a retired license to an active license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Pay the current active license fee. If the individual is reinstating to active status at a date that is less than 12 months from the next biennial renewal date, one-half of the current active license fee shall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Submit documented evidence of completion of 24 continuing education hours in compliance with requirements in 481—Chapter 1063. All continuing education hours must be completed in health, safety, and welfare subjects acquired in structured educational activities. The hours used to reinstate to active status cannot again be used to renew.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the first biennial renewal date of July 1 that is less than 12 months from the date of the filing of the application to restore the certificate of licensure to active status, the person shall not be required to report continuing education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the first biennial renewal date of July 1 that is 12 months or more, but less than 24 months, from the date of the filing of the application to restore the certificate of licensure to active status, the person shall report 12 hours of previously unreported continuing education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Provide a written statement in which the applicant affirms that the applicant has not engaged in any of the practices in Iowa that are listed in Iowa Code section 544A.16 during the period of retired licensure.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481—1062.9(544A,17A)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481—1062.9</w:t>
      </w:r>
      <w:r>
        <w:rPr>
          <w:rFonts w:ascii="Times New Roman" w:hAnsi="Times New Roman"/>
          <w:b/>
          <w:i w:val="false"/>
          <w:color w:val="000000"/>
          <w:sz w:val="24"/>
        </w:rPr>
        <w:t xml:space="preserve">(544A,17A) </w:t>
      </w:r>
      <w:r>
        <w:rPr>
          <w:rFonts w:ascii="Times New Roman" w:hAnsi="Times New Roman"/>
          <w:b/>
          <w:i w:val="false"/>
          <w:color w:val="000000"/>
          <w:sz w:val="24"/>
        </w:rPr>
        <w:t xml:space="preserve">Fee schedule. </w:t>
      </w:r>
      <w:r>
        <w:rPr>
          <w:rFonts w:ascii="Times New Roman" w:hAnsi="Times New Roman"/>
          <w:b w:val="false"/>
          <w:i w:val="false"/>
          <w:color w:val="000000"/>
          <w:sz w:val="24"/>
        </w:rPr>
        <w:t xml:space="preserve">Under the authority provided in Iowa Code chapter </w:t>
      </w:r>
      <w:hyperlink r:id="rId12">
        <w:r>
          <w:rPr>
            <w:rStyle w:val="Hyperlink"/>
            <w:rFonts w:ascii="Times New Roman" w:hAnsi="Times New Roman"/>
            <w:b w:val="false"/>
            <w:i w:val="false"/>
            <w:color w:val="000000"/>
            <w:sz w:val="24"/>
          </w:rPr>
          <w:t>544A</w:t>
        </w:r>
      </w:hyperlink>
      <w:r>
        <w:rPr>
          <w:rFonts w:ascii="Times New Roman" w:hAnsi="Times New Roman"/>
          <w:b w:val="false"/>
          <w:i w:val="false"/>
          <w:color w:val="000000"/>
          <w:sz w:val="24"/>
        </w:rPr>
        <w:t>, the following fees are hereby adopted:</w:t>
      </w:r>
    </w:p>
    <w:tbl>
      <w:tblPr>
        <w:tblW w:w="0" w:type="auto"/>
        <w:tblCellSpacing w:w="0" w:type="auto"/>
        <w:tblBorders>
          <w:top w:val="none"/>
          <w:left w:val="none"/>
          <w:bottom w:val="none"/>
          <w:right w:val="none"/>
          <w:insideH w:val="none"/>
          <w:insideV w:val="none"/>
        </w:tblBorders>
        <w:tblLayout w:type="fixed"/>
      </w:tblPr>
      <w:tblGrid>
        <w:gridCol w:w="7293"/>
        <w:gridCol w:w="4213"/>
      </w:tblGrid>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Examination fees:</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345" w:hRule="atLeast"/>
        </w:trPr>
        <w:tc>
          <w:tcPr>
            <w:tcW w:w="7293" w:type="dxa"/>
            <w:tcBorders/>
            <w:tcMar>
              <w:top w:w="30" w:type="dxa"/>
              <w:left w:w="30" w:type="dxa"/>
              <w:bottom w:w="15" w:type="dxa"/>
              <w:right w:w="30" w:type="dxa"/>
            </w:tcMar>
            <w:vAlign w:val="top"/>
          </w:tcPr>
          <w:p>
            <w:pPr>
              <w:spacing w:before="0" w:after="0" w:line="264"/>
              <w:ind w:left="396"/>
              <w:jc w:val="left"/>
            </w:pPr>
            <w:r>
              <w:rPr>
                <w:rFonts w:ascii="Times New Roman" w:hAnsi="Times New Roman"/>
                <w:b w:val="false"/>
                <w:i w:val="false"/>
                <w:color w:val="000000"/>
                <w:sz w:val="14"/>
              </w:rPr>
              <w:t>Fees for examination subjects shall be paid directly to the testing service selected by NCARB.</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Initial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9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(plus $5 per month until renewal)</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Reciprocal application and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Verification application and license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renewal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Biennial renewal fee (inactive)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Retired status</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None</w:t>
            </w:r>
          </w:p>
        </w:tc>
      </w:tr>
      <w:tr>
        <w:trPr>
          <w:trHeight w:val="345"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individual license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 + renewal fee + $25 per month or partial month of expired license</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inactive individual license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Duplicate wall certificate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predetermination fee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Fee for return of payment</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$30</w:t>
            </w:r>
          </w:p>
        </w:tc>
      </w:tr>
      <w:tr>
        <w:trPr>
          <w:trHeight w:val="180" w:hRule="atLeast"/>
        </w:trPr>
        <w:tc>
          <w:tcPr>
            <w:tcW w:w="729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All fees are nonrefundable.</w:t>
            </w:r>
          </w:p>
        </w:tc>
        <w:tc>
          <w:tcPr>
            <w:tcW w:w="421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481—1065.1(544A)</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“Accessory buildings,” </w:t>
      </w:r>
      <w:r>
        <w:rPr>
          <w:rFonts w:ascii="Times New Roman" w:hAnsi="Times New Roman"/>
          <w:b w:val="false"/>
          <w:i w:val="false"/>
          <w:color w:val="000000"/>
          <w:sz w:val="24"/>
        </w:rPr>
        <w:t xml:space="preserve">“Commercial,” </w:t>
      </w:r>
      <w:r>
        <w:rPr>
          <w:rFonts w:ascii="Times New Roman" w:hAnsi="Times New Roman"/>
          <w:b w:val="false"/>
          <w:i w:val="false"/>
          <w:color w:val="000000"/>
          <w:sz w:val="24"/>
        </w:rPr>
        <w:t xml:space="preserve">“Educational use,” </w:t>
      </w:r>
      <w:r>
        <w:rPr>
          <w:rFonts w:ascii="Times New Roman" w:hAnsi="Times New Roman"/>
          <w:b w:val="false"/>
          <w:i w:val="false"/>
          <w:color w:val="000000"/>
          <w:sz w:val="24"/>
        </w:rPr>
        <w:t xml:space="preserve">“Hazardous use,” </w:t>
      </w:r>
      <w:r>
        <w:rPr>
          <w:rFonts w:ascii="Times New Roman" w:hAnsi="Times New Roman"/>
          <w:b w:val="false"/>
          <w:i w:val="false"/>
          <w:color w:val="000000"/>
          <w:sz w:val="24"/>
        </w:rPr>
        <w:t xml:space="preserve">“Industrial use,” </w:t>
      </w:r>
      <w:r>
        <w:rPr>
          <w:rFonts w:ascii="Times New Roman" w:hAnsi="Times New Roman"/>
          <w:b w:val="false"/>
          <w:i w:val="false"/>
          <w:color w:val="000000"/>
          <w:sz w:val="24"/>
        </w:rPr>
        <w:t xml:space="preserve">“International Building Code,” </w:t>
      </w:r>
      <w:r>
        <w:rPr>
          <w:rFonts w:ascii="Times New Roman" w:hAnsi="Times New Roman"/>
          <w:b w:val="false"/>
          <w:i w:val="false"/>
          <w:color w:val="000000"/>
          <w:sz w:val="24"/>
        </w:rPr>
        <w:t xml:space="preserve">“Place of assembly of people or public gathering,” </w:t>
      </w:r>
      <w:r>
        <w:rPr>
          <w:rFonts w:ascii="Times New Roman" w:hAnsi="Times New Roman"/>
          <w:b w:val="false"/>
          <w:i w:val="false"/>
          <w:color w:val="000000"/>
          <w:sz w:val="24"/>
        </w:rPr>
        <w:t xml:space="preserve">“Residential use” and </w:t>
      </w:r>
      <w:r>
        <w:rPr>
          <w:rFonts w:ascii="Times New Roman" w:hAnsi="Times New Roman"/>
          <w:b w:val="false"/>
          <w:i w:val="false"/>
          <w:color w:val="000000"/>
          <w:sz w:val="24"/>
        </w:rPr>
        <w:t>“Warehouses,”</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“Accessory buildings”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building or structure of an accessory character and miscellaneous structures not classified in any specific occupancy or use. “Accessory buildings” are constructed, equipped and maintained to conform to the requirements corresponding to the fire and life hazard incidental to the buildings’ occupancy. “Accessory buildings” is intended to encompass the uses listed in Group U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“Commercial”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“commercial use”</w:t>
      </w:r>
      <w:r>
        <w:rPr>
          <w:rFonts w:ascii="Times New Roman" w:hAnsi="Times New Roman"/>
          <w:b w:val="false"/>
          <w:i/>
          <w:color w:val="000000"/>
          <w:sz w:val="24"/>
          <w:u w:val="single"/>
        </w:rPr>
        <w:t> </w:t>
      </w:r>
      <w:r>
        <w:rPr>
          <w:rFonts w:ascii="Times New Roman" w:hAnsi="Times New Roman"/>
          <w:b w:val="false"/>
          <w:i w:val="false"/>
          <w:color w:val="000000"/>
          <w:sz w:val="24"/>
        </w:rPr>
        <w:t>means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use of a building or structure, or a portion thereof, for office, professional, or service-type transactions, including storage of records and accounts,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use of a building or structure, or a portion thereof, for the display and sale of merchandise, and involves stocks of goods, including wares or merchandise incidental to such purposes and accessible to the public. </w:t>
      </w:r>
    </w:p>
    <w:p>
      <w:pPr>
        <w:spacing w:before="0" w:after="0" w:line="480"/>
        <w:ind w:left="120"/>
        <w:jc w:val="both"/>
      </w:pPr>
      <w:r>
        <w:rPr>
          <w:rFonts w:ascii="Times New Roman" w:hAnsi="Times New Roman"/>
          <w:b w:val="false"/>
          <w:i w:val="false"/>
          <w:color w:val="000000"/>
          <w:sz w:val="24"/>
        </w:rPr>
        <w:t xml:space="preserve">“Commercial use” is intended to encompass the uses listed in Group B and Group M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“Educational 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use of a building or structure, or a portion thereof used (1) by six or more persons at any one time for education purposes through twelfth grade; or (2) by six or more children for day care purposes. Rooms and spaces within places of religious worship providing such day care during religious functions and day cares serving five or fewer children are classified as part of the primary occupancy. “Educational use” is intended to encompass the uses listed in Group E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“Hazardous 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use of a building or structure, or a portion thereof, that involves the manufacturing, processing, generation or storage of materials that constitute a physical or health hazard. “Hazardous use” is intended to encompass the uses listed in Group H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“Industrial 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use of a building or structure, or a portion thereof, for assembling, disassembling, fabricating, finishing, manufacturing, packaging, repair, or processing operations that are not classified as hazardous use. “Industrial use” is intended to encompass the uses listed in Group F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“International Building Code”</w:t>
      </w:r>
      <w:r>
        <w:rPr>
          <w:rFonts w:ascii="Times New Roman" w:hAnsi="Times New Roman"/>
          <w:b w:val="false"/>
          <w:i/>
          <w:color w:val="000000"/>
          <w:sz w:val="24"/>
          <w:u w:val="single"/>
        </w:rPr>
        <w:t> </w:t>
      </w:r>
      <w:r>
        <w:rPr>
          <w:rFonts w:ascii="Times New Roman" w:hAnsi="Times New Roman"/>
          <w:b w:val="false"/>
          <w:i w:val="false"/>
          <w:color w:val="000000"/>
          <w:sz w:val="24"/>
        </w:rPr>
        <w:t xml:space="preserve">is a model building code developed by the International Code Council.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 is available from the state library of Iowa or the board or online at </w:t>
      </w:r>
      <w:hyperlink r:id="rId13">
        <w:r>
          <w:rPr>
            <w:rStyle w:val="Hyperlink"/>
            <w:rFonts w:ascii="Times New Roman" w:hAnsi="Times New Roman"/>
            <w:b w:val="false"/>
            <w:i w:val="false"/>
            <w:color w:val="000000"/>
            <w:sz w:val="24"/>
            <w:u w:val="single"/>
          </w:rPr>
          <w:t>codes.iccsafe.org</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“Place of assembly of people or public gathering”</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use of a building or structure, or a portion thereof, for the gathering of persons such as for civic, social, or religious functions; recreation, food or drink consumption; or awaiting transportation. “Place of assembly of people or public gathering” is intended to encompass the uses listed in Group A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 Places of assembly with occupancy of fewer than 50 people are considered part of the primary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“Residential 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use of a building or structure, or a portion thereof, for sleeping purposes when not classified as an institutional use. “Residential use” is intended to encompass the uses listed in Group R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“Warehouses”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“warehouse 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use of a building or structure, or portion thereof, for storage that is not classified as a hazardous use. “Warehouse use” is intended to encompass the uses listed in Group S of the </w:t>
      </w:r>
      <w:r>
        <w:rPr>
          <w:rFonts w:ascii="Times New Roman" w:hAnsi="Times New Roman"/>
          <w:b w:val="false"/>
          <w:i w:val="false"/>
          <w:strike/>
          <w:color w:val="000000"/>
          <w:sz w:val="24"/>
        </w:rPr>
        <w:t>2015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International Building Code®.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“Building” and </w:t>
      </w:r>
      <w:r>
        <w:rPr>
          <w:rFonts w:ascii="Times New Roman" w:hAnsi="Times New Roman"/>
          <w:b w:val="false"/>
          <w:i w:val="false"/>
          <w:color w:val="000000"/>
          <w:sz w:val="24"/>
        </w:rPr>
        <w:t>“Building area,”</w:t>
      </w:r>
      <w:r>
        <w:rPr>
          <w:rFonts w:ascii="Times New Roman" w:hAnsi="Times New Roman"/>
          <w:b w:val="false"/>
          <w:i w:val="false"/>
          <w:color w:val="000000"/>
          <w:sz w:val="24"/>
        </w:rPr>
        <w:t xml:space="preserve"> in rule </w:t>
      </w:r>
      <w:r>
        <w:rPr>
          <w:rFonts w:ascii="Times New Roman" w:hAnsi="Times New Roman"/>
          <w:b/>
          <w:i w:val="false"/>
          <w:color w:val="000000"/>
          <w:sz w:val="24"/>
        </w:rPr>
        <w:t>481—1065.1(544A)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“Building”</w:t>
      </w:r>
      <w:r>
        <w:rPr>
          <w:rFonts w:ascii="Times New Roman" w:hAnsi="Times New Roman"/>
          <w:b w:val="false"/>
          <w:i/>
          <w:color w:val="000000"/>
          <w:sz w:val="24"/>
          <w:u w:val="single"/>
        </w:rPr>
        <w:t> </w:t>
      </w:r>
      <w:r>
        <w:rPr>
          <w:rFonts w:ascii="Times New Roman" w:hAnsi="Times New Roman"/>
          <w:b w:val="false"/>
          <w:i w:val="false"/>
          <w:color w:val="000000"/>
          <w:sz w:val="24"/>
        </w:rPr>
        <w:t>means any structure utilized or intended for support or sheltering any occupancy.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“Building area”</w:t>
      </w:r>
      <w:r>
        <w:rPr>
          <w:rFonts w:ascii="Times New Roman" w:hAnsi="Times New Roman"/>
          <w:b w:val="false"/>
          <w:i/>
          <w:color w:val="000000"/>
          <w:sz w:val="24"/>
          <w:u w:val="single"/>
        </w:rPr>
        <w:t> </w:t>
      </w:r>
      <w:r>
        <w:rPr>
          <w:rFonts w:ascii="Times New Roman" w:hAnsi="Times New Roman"/>
          <w:b w:val="false"/>
          <w:i w:val="false"/>
          <w:color w:val="000000"/>
          <w:sz w:val="24"/>
        </w:rPr>
        <w:t>means the area included within surrounding exterior walls, or exterior walls and fire walls, exclusive of vent shafts and courts. Areas of a building not provided with surrounding walls shall be included in the building area if such areas are included within the horizontal projection of the roof or floor above.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rule </w:t>
      </w:r>
      <w:r>
        <w:rPr>
          <w:rFonts w:ascii="Times New Roman" w:hAnsi="Times New Roman"/>
          <w:b/>
          <w:i w:val="false"/>
          <w:color w:val="000000"/>
          <w:sz w:val="24"/>
        </w:rPr>
        <w:t>481—1065.4(544A)</w:t>
      </w:r>
      <w:r>
        <w:rPr>
          <w:rFonts w:ascii="Times New Roman" w:hAnsi="Times New Roman"/>
          <w:b w:val="false"/>
          <w:i w:val="false"/>
          <w:color w:val="000000"/>
          <w:sz w:val="24"/>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schraderbachar@dia.iowa.gov" Type="http://schemas.openxmlformats.org/officeDocument/2006/relationships/hyperlink" Id="rId4"/>
    <Relationship TargetMode="External" Target="https://www.legis.iowa.gov/docs/ico/chapter/544A.15.pdf" Type="http://schemas.openxmlformats.org/officeDocument/2006/relationships/hyperlink" Id="rId5"/>
    <Relationship TargetMode="External" Target="https://www.legis.iowa.gov/docs/ico/chapter/544A.15.pdf" Type="http://schemas.openxmlformats.org/officeDocument/2006/relationships/hyperlink" Id="rId6"/>
    <Relationship TargetMode="External" Target="https://www.legis.iowa.gov/docs/ico/chapter/544A.16.pdf" Type="http://schemas.openxmlformats.org/officeDocument/2006/relationships/hyperlink" Id="rId7"/>
    <Relationship TargetMode="External" Target="https://www.legis.iowa.gov/docs/iac/rule/481.1062.3.pdf" Type="http://schemas.openxmlformats.org/officeDocument/2006/relationships/hyperlink" Id="rId8"/>
    <Relationship TargetMode="External" Target="https://www.legis.iowa.gov/docs/iac/rule/481.1062.3.pdf" Type="http://schemas.openxmlformats.org/officeDocument/2006/relationships/hyperlink" Id="rId9"/>
    <Relationship TargetMode="External" Target="https://www.legis.iowa.gov/docs/iac/chapter/481.1063.pdf" Type="http://schemas.openxmlformats.org/officeDocument/2006/relationships/hyperlink" Id="rId10"/>
    <Relationship TargetMode="External" Target="https://www.legis.iowa.gov/docs/ico/chapter/544A.16.pdf" Type="http://schemas.openxmlformats.org/officeDocument/2006/relationships/hyperlink" Id="rId11"/>
    <Relationship TargetMode="External" Target="https://www.legis.iowa.gov/docs/ico/chapter/544A.pdf" Type="http://schemas.openxmlformats.org/officeDocument/2006/relationships/hyperlink" Id="rId12"/>
    <Relationship TargetMode="External" Target="http://codes.iccsafe.org"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